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3D6" w:rsidRDefault="001363D6" w:rsidP="001363D6">
      <w:pPr>
        <w:jc w:val="center"/>
        <w:rPr>
          <w:b/>
          <w:szCs w:val="24"/>
        </w:rPr>
      </w:pPr>
      <w:r>
        <w:rPr>
          <w:b/>
          <w:szCs w:val="24"/>
        </w:rPr>
        <w:t>LUTHERAN SOCIAL SERVICE OF MINNESOTA’S</w:t>
      </w:r>
      <w:r w:rsidRPr="00821F9D">
        <w:rPr>
          <w:b/>
          <w:szCs w:val="24"/>
        </w:rPr>
        <w:t xml:space="preserve"> </w:t>
      </w:r>
    </w:p>
    <w:p w:rsidR="001363D6" w:rsidRDefault="001363D6" w:rsidP="001363D6">
      <w:pPr>
        <w:jc w:val="center"/>
        <w:rPr>
          <w:b/>
          <w:szCs w:val="24"/>
        </w:rPr>
      </w:pPr>
      <w:r>
        <w:rPr>
          <w:b/>
          <w:szCs w:val="24"/>
        </w:rPr>
        <w:t xml:space="preserve">NORTH DAKOTA </w:t>
      </w:r>
      <w:r w:rsidRPr="00821F9D">
        <w:rPr>
          <w:b/>
          <w:szCs w:val="24"/>
        </w:rPr>
        <w:t>SELF-</w:t>
      </w:r>
      <w:r>
        <w:rPr>
          <w:b/>
          <w:szCs w:val="24"/>
        </w:rPr>
        <w:t>SETTLED POOLED TRUST</w:t>
      </w:r>
    </w:p>
    <w:p w:rsidR="001363D6" w:rsidRPr="00821F9D" w:rsidRDefault="001363D6" w:rsidP="001363D6">
      <w:pPr>
        <w:jc w:val="center"/>
        <w:rPr>
          <w:b/>
          <w:szCs w:val="24"/>
        </w:rPr>
      </w:pPr>
      <w:r>
        <w:rPr>
          <w:b/>
          <w:szCs w:val="24"/>
        </w:rPr>
        <w:t xml:space="preserve"> GRANTOR’S </w:t>
      </w:r>
      <w:r w:rsidRPr="00821F9D">
        <w:rPr>
          <w:b/>
          <w:szCs w:val="24"/>
        </w:rPr>
        <w:t>WISHES FOR THE USE OF FUNDS</w:t>
      </w:r>
    </w:p>
    <w:p w:rsidR="001363D6" w:rsidRDefault="001363D6" w:rsidP="001363D6"/>
    <w:p w:rsidR="001363D6" w:rsidRDefault="001363D6" w:rsidP="001363D6">
      <w:pPr>
        <w:pStyle w:val="Header"/>
        <w:jc w:val="both"/>
      </w:pPr>
      <w:r w:rsidRPr="00236B6C">
        <w:t>I (</w:t>
      </w:r>
      <w:r>
        <w:t>G</w:t>
      </w:r>
      <w:r w:rsidRPr="00236B6C">
        <w:t>rantor) _</w:t>
      </w:r>
      <w:r>
        <w:rPr>
          <w:rFonts w:ascii="Lucida Sans" w:hAnsi="Lucida Sans"/>
          <w:sz w:val="18"/>
          <w:szCs w:val="18"/>
        </w:rPr>
        <w:fldChar w:fldCharType="begin">
          <w:ffData>
            <w:name w:val="Text10"/>
            <w:enabled/>
            <w:calcOnExit w:val="0"/>
            <w:textInput/>
          </w:ffData>
        </w:fldChar>
      </w:r>
      <w:r>
        <w:rPr>
          <w:rFonts w:ascii="Lucida Sans" w:hAnsi="Lucida Sans"/>
          <w:sz w:val="18"/>
          <w:szCs w:val="18"/>
        </w:rPr>
        <w:instrText xml:space="preserve"> FORMTEXT </w:instrText>
      </w:r>
      <w:r>
        <w:rPr>
          <w:rFonts w:ascii="Lucida Sans" w:hAnsi="Lucida Sans"/>
          <w:sz w:val="18"/>
          <w:szCs w:val="18"/>
        </w:rPr>
      </w:r>
      <w:r>
        <w:rPr>
          <w:rFonts w:ascii="Lucida Sans" w:hAnsi="Lucida Sans"/>
          <w:sz w:val="18"/>
          <w:szCs w:val="18"/>
        </w:rPr>
        <w:fldChar w:fldCharType="separate"/>
      </w:r>
      <w:bookmarkStart w:id="0" w:name="_GoBack"/>
      <w:r>
        <w:rPr>
          <w:rFonts w:ascii="Lucida Sans" w:hAnsi="Lucida Sans"/>
          <w:noProof/>
          <w:sz w:val="18"/>
          <w:szCs w:val="18"/>
        </w:rPr>
        <w:t> </w:t>
      </w:r>
      <w:r>
        <w:rPr>
          <w:rFonts w:ascii="Lucida Sans" w:hAnsi="Lucida Sans"/>
          <w:noProof/>
          <w:sz w:val="18"/>
          <w:szCs w:val="18"/>
        </w:rPr>
        <w:t> </w:t>
      </w:r>
      <w:r>
        <w:rPr>
          <w:rFonts w:ascii="Lucida Sans" w:hAnsi="Lucida Sans"/>
          <w:noProof/>
          <w:sz w:val="18"/>
          <w:szCs w:val="18"/>
        </w:rPr>
        <w:t> </w:t>
      </w:r>
      <w:r>
        <w:rPr>
          <w:rFonts w:ascii="Lucida Sans" w:hAnsi="Lucida Sans"/>
          <w:noProof/>
          <w:sz w:val="18"/>
          <w:szCs w:val="18"/>
        </w:rPr>
        <w:t> </w:t>
      </w:r>
      <w:r>
        <w:rPr>
          <w:rFonts w:ascii="Lucida Sans" w:hAnsi="Lucida Sans"/>
          <w:noProof/>
          <w:sz w:val="18"/>
          <w:szCs w:val="18"/>
        </w:rPr>
        <w:t> </w:t>
      </w:r>
      <w:bookmarkEnd w:id="0"/>
      <w:r>
        <w:rPr>
          <w:rFonts w:ascii="Lucida Sans" w:hAnsi="Lucida Sans"/>
          <w:sz w:val="18"/>
          <w:szCs w:val="18"/>
        </w:rPr>
        <w:fldChar w:fldCharType="end"/>
      </w:r>
      <w:r w:rsidRPr="00236B6C">
        <w:t>______</w:t>
      </w:r>
      <w:r>
        <w:t xml:space="preserve">wish for the </w:t>
      </w:r>
      <w:r w:rsidRPr="00236B6C">
        <w:t xml:space="preserve">funds in my </w:t>
      </w:r>
      <w:r>
        <w:t xml:space="preserve">Lutheran Social Service of Minnesota’s North Dakota Self-Settled </w:t>
      </w:r>
      <w:r w:rsidRPr="00236B6C">
        <w:t>Pooled Trust account to last for approximately _</w:t>
      </w:r>
      <w:r>
        <w:rPr>
          <w:rFonts w:ascii="Lucida Sans" w:hAnsi="Lucida Sans"/>
          <w:sz w:val="18"/>
          <w:szCs w:val="18"/>
        </w:rPr>
        <w:fldChar w:fldCharType="begin">
          <w:ffData>
            <w:name w:val="Text10"/>
            <w:enabled/>
            <w:calcOnExit w:val="0"/>
            <w:textInput/>
          </w:ffData>
        </w:fldChar>
      </w:r>
      <w:r>
        <w:rPr>
          <w:rFonts w:ascii="Lucida Sans" w:hAnsi="Lucida Sans"/>
          <w:sz w:val="18"/>
          <w:szCs w:val="18"/>
        </w:rPr>
        <w:instrText xml:space="preserve"> FORMTEXT </w:instrText>
      </w:r>
      <w:r>
        <w:rPr>
          <w:rFonts w:ascii="Lucida Sans" w:hAnsi="Lucida Sans"/>
          <w:sz w:val="18"/>
          <w:szCs w:val="18"/>
        </w:rPr>
      </w:r>
      <w:r>
        <w:rPr>
          <w:rFonts w:ascii="Lucida Sans" w:hAnsi="Lucida Sans"/>
          <w:sz w:val="18"/>
          <w:szCs w:val="18"/>
        </w:rPr>
        <w:fldChar w:fldCharType="separate"/>
      </w:r>
      <w:r>
        <w:rPr>
          <w:rFonts w:ascii="Lucida Sans" w:hAnsi="Lucida Sans"/>
          <w:noProof/>
          <w:sz w:val="18"/>
          <w:szCs w:val="18"/>
        </w:rPr>
        <w:t> </w:t>
      </w:r>
      <w:r>
        <w:rPr>
          <w:rFonts w:ascii="Lucida Sans" w:hAnsi="Lucida Sans"/>
          <w:noProof/>
          <w:sz w:val="18"/>
          <w:szCs w:val="18"/>
        </w:rPr>
        <w:t> </w:t>
      </w:r>
      <w:r>
        <w:rPr>
          <w:rFonts w:ascii="Lucida Sans" w:hAnsi="Lucida Sans"/>
          <w:noProof/>
          <w:sz w:val="18"/>
          <w:szCs w:val="18"/>
        </w:rPr>
        <w:t> </w:t>
      </w:r>
      <w:r>
        <w:rPr>
          <w:rFonts w:ascii="Lucida Sans" w:hAnsi="Lucida Sans"/>
          <w:noProof/>
          <w:sz w:val="18"/>
          <w:szCs w:val="18"/>
        </w:rPr>
        <w:t> </w:t>
      </w:r>
      <w:r>
        <w:rPr>
          <w:rFonts w:ascii="Lucida Sans" w:hAnsi="Lucida Sans"/>
          <w:noProof/>
          <w:sz w:val="18"/>
          <w:szCs w:val="18"/>
        </w:rPr>
        <w:t> </w:t>
      </w:r>
      <w:r>
        <w:rPr>
          <w:rFonts w:ascii="Lucida Sans" w:hAnsi="Lucida Sans"/>
          <w:sz w:val="18"/>
          <w:szCs w:val="18"/>
        </w:rPr>
        <w:fldChar w:fldCharType="end"/>
      </w:r>
      <w:r w:rsidRPr="00236B6C">
        <w:t xml:space="preserve">_ years </w:t>
      </w:r>
      <w:r>
        <w:t xml:space="preserve">and I understand that in creating this list of “wishes” that the list is not binding on the Trustee and will only be used as guide for the Trustee when making any distributions on my behalf.  Further, I acknowledge that any and all distributions from the Lutheran Social Service of Minnesota’s North Dakota Self-Settled Pooled Trust are at the sole and absolute discretion of the Trustee of the Trust and that the Trustee will use its best judgment as a fiduciary when making distributions from the Trust for my benefit.  Considering the above statements, I wish that my account to </w:t>
      </w:r>
      <w:r w:rsidRPr="00236B6C">
        <w:t>be used for:</w:t>
      </w:r>
    </w:p>
    <w:p w:rsidR="001363D6" w:rsidRDefault="001363D6" w:rsidP="001363D6">
      <w:pPr>
        <w:ind w:left="360" w:right="360"/>
        <w:jc w:val="both"/>
        <w:rPr>
          <w:sz w:val="18"/>
          <w:szCs w:val="18"/>
        </w:rPr>
      </w:pPr>
    </w:p>
    <w:p w:rsidR="001363D6" w:rsidRDefault="001363D6" w:rsidP="001363D6">
      <w:pPr>
        <w:ind w:left="360" w:right="360"/>
        <w:jc w:val="both"/>
        <w:rPr>
          <w:sz w:val="18"/>
          <w:szCs w:val="18"/>
        </w:rPr>
      </w:pPr>
      <w:r>
        <w:rPr>
          <w:sz w:val="18"/>
          <w:szCs w:val="18"/>
        </w:rPr>
        <w:t xml:space="preserve">(Note:  </w:t>
      </w:r>
      <w:r w:rsidRPr="002D56BC">
        <w:rPr>
          <w:sz w:val="18"/>
          <w:szCs w:val="18"/>
        </w:rPr>
        <w:t xml:space="preserve">This is a partial list of things that have been purchased from the </w:t>
      </w:r>
      <w:r>
        <w:rPr>
          <w:sz w:val="18"/>
          <w:szCs w:val="18"/>
        </w:rPr>
        <w:t xml:space="preserve">Lutheran Social Service of Minnesota’s North Dakota </w:t>
      </w:r>
      <w:r w:rsidRPr="00FE12B1">
        <w:rPr>
          <w:sz w:val="18"/>
          <w:szCs w:val="18"/>
        </w:rPr>
        <w:t xml:space="preserve">Self-Settled </w:t>
      </w:r>
      <w:r w:rsidRPr="002D56BC">
        <w:rPr>
          <w:sz w:val="18"/>
          <w:szCs w:val="18"/>
        </w:rPr>
        <w:t>Pooled Trust accounts of other trust clients.  Based on how you want the funds from your trust account to be used, rank the items below and add items that are missing from your wish list.</w:t>
      </w:r>
      <w:r>
        <w:rPr>
          <w:sz w:val="18"/>
          <w:szCs w:val="18"/>
        </w:rPr>
        <w:t xml:space="preserve"> Please note that some of the items listed below may not be available to you based on the restrictions imposed by the government programs in which you are enrolled.)</w:t>
      </w:r>
    </w:p>
    <w:p w:rsidR="001363D6" w:rsidRPr="002D56BC" w:rsidRDefault="001363D6" w:rsidP="001363D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44"/>
        <w:gridCol w:w="3936"/>
        <w:gridCol w:w="1079"/>
        <w:gridCol w:w="2798"/>
      </w:tblGrid>
      <w:tr w:rsidR="001363D6" w:rsidRPr="001363D6" w:rsidTr="00F6719A">
        <w:tc>
          <w:tcPr>
            <w:tcW w:w="1559" w:type="dxa"/>
            <w:gridSpan w:val="2"/>
            <w:shd w:val="clear" w:color="auto" w:fill="D9D9D9"/>
          </w:tcPr>
          <w:p w:rsidR="001363D6" w:rsidRPr="001363D6" w:rsidRDefault="001363D6" w:rsidP="001363D6">
            <w:pPr>
              <w:rPr>
                <w:sz w:val="20"/>
                <w:szCs w:val="20"/>
              </w:rPr>
            </w:pPr>
            <w:r w:rsidRPr="001363D6">
              <w:rPr>
                <w:sz w:val="20"/>
                <w:szCs w:val="20"/>
              </w:rPr>
              <w:t>Rank on Scale 1-5</w:t>
            </w:r>
          </w:p>
        </w:tc>
        <w:tc>
          <w:tcPr>
            <w:tcW w:w="8017" w:type="dxa"/>
            <w:gridSpan w:val="3"/>
            <w:shd w:val="clear" w:color="auto" w:fill="D9D9D9"/>
          </w:tcPr>
          <w:p w:rsidR="001363D6" w:rsidRPr="001363D6" w:rsidRDefault="001363D6" w:rsidP="001363D6">
            <w:pPr>
              <w:rPr>
                <w:sz w:val="20"/>
                <w:szCs w:val="20"/>
              </w:rPr>
            </w:pPr>
            <w:r w:rsidRPr="001363D6">
              <w:rPr>
                <w:sz w:val="20"/>
                <w:szCs w:val="20"/>
              </w:rPr>
              <w:t>5= highest priority, 4= high priority, 3= moderate priority, 2= low priority, 1= don’t want to use my funds on this expense</w:t>
            </w:r>
          </w:p>
        </w:tc>
      </w:tr>
      <w:tr w:rsidR="001363D6" w:rsidRPr="001363D6" w:rsidTr="00F6719A">
        <w:tc>
          <w:tcPr>
            <w:tcW w:w="5623" w:type="dxa"/>
            <w:gridSpan w:val="3"/>
            <w:shd w:val="clear" w:color="auto" w:fill="auto"/>
          </w:tcPr>
          <w:p w:rsidR="001363D6" w:rsidRPr="001363D6" w:rsidRDefault="001363D6" w:rsidP="001363D6">
            <w:pPr>
              <w:rPr>
                <w:b/>
                <w:sz w:val="20"/>
                <w:szCs w:val="20"/>
              </w:rPr>
            </w:pPr>
            <w:r w:rsidRPr="001363D6">
              <w:rPr>
                <w:b/>
                <w:sz w:val="20"/>
                <w:szCs w:val="20"/>
              </w:rPr>
              <w:t>Expenses associated with major life events</w:t>
            </w:r>
          </w:p>
        </w:tc>
        <w:tc>
          <w:tcPr>
            <w:tcW w:w="1083" w:type="dxa"/>
          </w:tcPr>
          <w:p w:rsidR="001363D6" w:rsidRPr="001363D6" w:rsidRDefault="001363D6" w:rsidP="001363D6">
            <w:pPr>
              <w:rPr>
                <w:b/>
                <w:sz w:val="18"/>
                <w:szCs w:val="18"/>
              </w:rPr>
            </w:pPr>
            <w:r w:rsidRPr="001363D6">
              <w:rPr>
                <w:b/>
                <w:sz w:val="18"/>
                <w:szCs w:val="18"/>
              </w:rPr>
              <w:t>Estimated Amount</w:t>
            </w:r>
          </w:p>
        </w:tc>
        <w:tc>
          <w:tcPr>
            <w:tcW w:w="2870" w:type="dxa"/>
          </w:tcPr>
          <w:p w:rsidR="001363D6" w:rsidRPr="001363D6" w:rsidRDefault="001363D6" w:rsidP="001363D6">
            <w:pPr>
              <w:rPr>
                <w:b/>
                <w:sz w:val="18"/>
                <w:szCs w:val="18"/>
              </w:rPr>
            </w:pPr>
            <w:r w:rsidRPr="001363D6">
              <w:rPr>
                <w:b/>
                <w:sz w:val="18"/>
                <w:szCs w:val="18"/>
              </w:rPr>
              <w:t>Time Frame : 0-6 Months ; 6-9 Months ; 12 Months or longer</w:t>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 xml:space="preserve">Home (primary residence only)  modification </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Home (primary residence only)  maintenance / repair</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Replacement car</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Car repair</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Moving expenses</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Significant medical expenses not covered by Medicaid or insurance</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Pre-paid funeral</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 xml:space="preserve">Other: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 xml:space="preserve">Other: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5623" w:type="dxa"/>
            <w:gridSpan w:val="3"/>
            <w:shd w:val="clear" w:color="auto" w:fill="auto"/>
          </w:tcPr>
          <w:p w:rsidR="001363D6" w:rsidRPr="001363D6" w:rsidRDefault="001363D6" w:rsidP="001363D6">
            <w:pPr>
              <w:rPr>
                <w:b/>
                <w:sz w:val="20"/>
                <w:szCs w:val="20"/>
              </w:rPr>
            </w:pPr>
            <w:r w:rsidRPr="001363D6">
              <w:rPr>
                <w:b/>
                <w:sz w:val="20"/>
                <w:szCs w:val="20"/>
              </w:rPr>
              <w:t>Everyday living expenses</w:t>
            </w:r>
          </w:p>
        </w:tc>
        <w:tc>
          <w:tcPr>
            <w:tcW w:w="1083" w:type="dxa"/>
          </w:tcPr>
          <w:p w:rsidR="001363D6" w:rsidRPr="001363D6" w:rsidRDefault="001363D6" w:rsidP="001363D6">
            <w:pPr>
              <w:rPr>
                <w:b/>
                <w:sz w:val="18"/>
                <w:szCs w:val="18"/>
              </w:rPr>
            </w:pPr>
            <w:r w:rsidRPr="001363D6">
              <w:rPr>
                <w:b/>
                <w:sz w:val="18"/>
                <w:szCs w:val="18"/>
              </w:rPr>
              <w:t>Estimated Amount</w:t>
            </w:r>
          </w:p>
        </w:tc>
        <w:tc>
          <w:tcPr>
            <w:tcW w:w="2870" w:type="dxa"/>
          </w:tcPr>
          <w:p w:rsidR="001363D6" w:rsidRPr="001363D6" w:rsidRDefault="001363D6" w:rsidP="001363D6">
            <w:pPr>
              <w:rPr>
                <w:b/>
                <w:sz w:val="18"/>
                <w:szCs w:val="18"/>
              </w:rPr>
            </w:pPr>
            <w:r w:rsidRPr="001363D6">
              <w:rPr>
                <w:b/>
                <w:sz w:val="18"/>
                <w:szCs w:val="18"/>
              </w:rPr>
              <w:t>Frequency</w:t>
            </w:r>
          </w:p>
          <w:p w:rsidR="001363D6" w:rsidRPr="001363D6" w:rsidRDefault="001363D6" w:rsidP="001363D6">
            <w:pPr>
              <w:rPr>
                <w:b/>
                <w:sz w:val="18"/>
                <w:szCs w:val="18"/>
              </w:rPr>
            </w:pPr>
            <w:r w:rsidRPr="001363D6">
              <w:rPr>
                <w:b/>
                <w:sz w:val="18"/>
                <w:szCs w:val="18"/>
              </w:rPr>
              <w:t>M=monthly, Q= quarterly A=Annually  S= Semi Annually</w:t>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Clothing</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Cell phone bills</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Internet / cable bills</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Insurance</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Medical expenses not covered by Medicaid or insurance</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Electronics</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Case management / ILS not covered by benefits</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Personal care services – PCA not covered by Medicaid</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Attorney fees</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Other:</w:t>
            </w:r>
            <w:r w:rsidRPr="001363D6">
              <w:rPr>
                <w:rFonts w:ascii="Lucida Sans" w:hAnsi="Lucida Sans"/>
                <w:sz w:val="18"/>
                <w:szCs w:val="18"/>
              </w:rPr>
              <w:t xml:space="preserve">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 xml:space="preserve">Other: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 xml:space="preserve">Other: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 xml:space="preserve">Other: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rFonts w:ascii="Lucida Sans" w:hAnsi="Lucida Sans"/>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Other:</w:t>
            </w:r>
            <w:r w:rsidRPr="001363D6">
              <w:rPr>
                <w:rFonts w:ascii="Lucida Sans" w:hAnsi="Lucida Sans"/>
                <w:sz w:val="18"/>
                <w:szCs w:val="18"/>
              </w:rPr>
              <w:t xml:space="preserve">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rFonts w:ascii="Lucida Sans" w:hAnsi="Lucida Sans"/>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Other:</w:t>
            </w:r>
            <w:r w:rsidRPr="001363D6">
              <w:rPr>
                <w:rFonts w:ascii="Lucida Sans" w:hAnsi="Lucida Sans"/>
                <w:sz w:val="18"/>
                <w:szCs w:val="18"/>
              </w:rPr>
              <w:t xml:space="preserve">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 xml:space="preserve">Other: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 xml:space="preserve">Other: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5623" w:type="dxa"/>
            <w:gridSpan w:val="3"/>
            <w:shd w:val="clear" w:color="auto" w:fill="auto"/>
          </w:tcPr>
          <w:p w:rsidR="001363D6" w:rsidRPr="001363D6" w:rsidRDefault="001363D6" w:rsidP="001363D6">
            <w:pPr>
              <w:rPr>
                <w:b/>
                <w:sz w:val="18"/>
                <w:szCs w:val="18"/>
              </w:rPr>
            </w:pPr>
            <w:r w:rsidRPr="001363D6">
              <w:rPr>
                <w:b/>
                <w:sz w:val="20"/>
                <w:szCs w:val="20"/>
              </w:rPr>
              <w:lastRenderedPageBreak/>
              <w:t>Expenses for special things and activities</w:t>
            </w:r>
          </w:p>
        </w:tc>
        <w:tc>
          <w:tcPr>
            <w:tcW w:w="1083" w:type="dxa"/>
          </w:tcPr>
          <w:p w:rsidR="001363D6" w:rsidRPr="001363D6" w:rsidRDefault="001363D6" w:rsidP="001363D6">
            <w:pPr>
              <w:rPr>
                <w:b/>
                <w:sz w:val="20"/>
                <w:szCs w:val="20"/>
              </w:rPr>
            </w:pPr>
            <w:r w:rsidRPr="001363D6">
              <w:rPr>
                <w:b/>
                <w:sz w:val="18"/>
                <w:szCs w:val="18"/>
              </w:rPr>
              <w:t>Estimated Amount</w:t>
            </w:r>
          </w:p>
        </w:tc>
        <w:tc>
          <w:tcPr>
            <w:tcW w:w="2870" w:type="dxa"/>
          </w:tcPr>
          <w:p w:rsidR="001363D6" w:rsidRPr="001363D6" w:rsidRDefault="001363D6" w:rsidP="001363D6">
            <w:pPr>
              <w:rPr>
                <w:b/>
                <w:sz w:val="18"/>
                <w:szCs w:val="18"/>
              </w:rPr>
            </w:pPr>
            <w:r w:rsidRPr="001363D6">
              <w:rPr>
                <w:b/>
                <w:sz w:val="18"/>
                <w:szCs w:val="18"/>
              </w:rPr>
              <w:t>Frequency</w:t>
            </w:r>
          </w:p>
          <w:p w:rsidR="001363D6" w:rsidRPr="001363D6" w:rsidRDefault="001363D6" w:rsidP="001363D6">
            <w:pPr>
              <w:rPr>
                <w:b/>
                <w:sz w:val="20"/>
                <w:szCs w:val="20"/>
              </w:rPr>
            </w:pPr>
            <w:r w:rsidRPr="001363D6">
              <w:rPr>
                <w:b/>
                <w:sz w:val="18"/>
                <w:szCs w:val="18"/>
              </w:rPr>
              <w:t>M=monthly, Q= quarterly A=Annually  S= Semi Annually</w:t>
            </w:r>
          </w:p>
        </w:tc>
      </w:tr>
      <w:tr w:rsidR="001363D6" w:rsidRPr="001363D6" w:rsidTr="00F6719A">
        <w:tc>
          <w:tcPr>
            <w:tcW w:w="1002" w:type="dxa"/>
            <w:shd w:val="clear" w:color="auto" w:fill="auto"/>
          </w:tcPr>
          <w:p w:rsidR="001363D6" w:rsidRPr="001363D6" w:rsidRDefault="001363D6" w:rsidP="001363D6">
            <w:pPr>
              <w:rPr>
                <w:b/>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Tickets to sports teams / Concert Tickets</w:t>
            </w:r>
          </w:p>
        </w:tc>
        <w:tc>
          <w:tcPr>
            <w:tcW w:w="1083" w:type="dxa"/>
          </w:tcPr>
          <w:p w:rsidR="001363D6" w:rsidRPr="001363D6" w:rsidRDefault="001363D6" w:rsidP="001363D6">
            <w:pPr>
              <w:rPr>
                <w:b/>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b/>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Restaurants</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Travel and vacation</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rFonts w:ascii="Lucida Sans" w:hAnsi="Lucida Sans"/>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Movies / Plays</w:t>
            </w:r>
          </w:p>
        </w:tc>
        <w:tc>
          <w:tcPr>
            <w:tcW w:w="1083" w:type="dxa"/>
          </w:tcPr>
          <w:p w:rsidR="001363D6" w:rsidRPr="001363D6" w:rsidRDefault="001363D6" w:rsidP="001363D6">
            <w:pPr>
              <w:rPr>
                <w:rFonts w:ascii="Lucida Sans" w:hAnsi="Lucida Sans"/>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rFonts w:ascii="Lucida Sans" w:hAnsi="Lucida Sans"/>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Pet and pet care</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rFonts w:ascii="Lucida Sans" w:hAnsi="Lucida Sans"/>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 xml:space="preserve">Memberships </w:t>
            </w:r>
          </w:p>
        </w:tc>
        <w:tc>
          <w:tcPr>
            <w:tcW w:w="1083" w:type="dxa"/>
          </w:tcPr>
          <w:p w:rsidR="001363D6" w:rsidRPr="001363D6" w:rsidRDefault="001363D6" w:rsidP="001363D6">
            <w:pPr>
              <w:rPr>
                <w:rFonts w:ascii="Lucida Sans" w:hAnsi="Lucida Sans"/>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rFonts w:ascii="Lucida Sans" w:hAnsi="Lucida Sans"/>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rFonts w:ascii="Lucida Sans" w:hAnsi="Lucida Sans"/>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 xml:space="preserve">Bowling </w:t>
            </w:r>
          </w:p>
        </w:tc>
        <w:tc>
          <w:tcPr>
            <w:tcW w:w="1083" w:type="dxa"/>
          </w:tcPr>
          <w:p w:rsidR="001363D6" w:rsidRPr="001363D6" w:rsidRDefault="001363D6" w:rsidP="001363D6">
            <w:pPr>
              <w:rPr>
                <w:rFonts w:ascii="Lucida Sans" w:hAnsi="Lucida Sans"/>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rFonts w:ascii="Lucida Sans" w:hAnsi="Lucida Sans"/>
                <w:sz w:val="18"/>
                <w:szCs w:val="18"/>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 xml:space="preserve">Personal care including massages, nail care, hair styling </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Education / community ed. classes</w:t>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Other:</w:t>
            </w:r>
            <w:r w:rsidRPr="001363D6">
              <w:rPr>
                <w:rFonts w:ascii="Lucida Sans" w:hAnsi="Lucida Sans"/>
                <w:sz w:val="18"/>
                <w:szCs w:val="18"/>
              </w:rPr>
              <w:t xml:space="preserve">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Other:</w:t>
            </w:r>
            <w:r w:rsidRPr="001363D6">
              <w:rPr>
                <w:rFonts w:ascii="Lucida Sans" w:hAnsi="Lucida Sans"/>
                <w:sz w:val="18"/>
                <w:szCs w:val="18"/>
              </w:rPr>
              <w:t xml:space="preserve">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Other:</w:t>
            </w:r>
            <w:r w:rsidRPr="001363D6">
              <w:rPr>
                <w:rFonts w:ascii="Lucida Sans" w:hAnsi="Lucida Sans"/>
                <w:sz w:val="18"/>
                <w:szCs w:val="18"/>
              </w:rPr>
              <w:t xml:space="preserve">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Other:</w:t>
            </w:r>
            <w:r w:rsidRPr="001363D6">
              <w:rPr>
                <w:rFonts w:ascii="Lucida Sans" w:hAnsi="Lucida Sans"/>
                <w:sz w:val="18"/>
                <w:szCs w:val="18"/>
              </w:rPr>
              <w:t xml:space="preserve">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r w:rsidR="001363D6" w:rsidRPr="001363D6" w:rsidTr="00F6719A">
        <w:tc>
          <w:tcPr>
            <w:tcW w:w="1002" w:type="dxa"/>
            <w:shd w:val="clear" w:color="auto" w:fill="auto"/>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4621" w:type="dxa"/>
            <w:gridSpan w:val="2"/>
            <w:shd w:val="clear" w:color="auto" w:fill="auto"/>
          </w:tcPr>
          <w:p w:rsidR="001363D6" w:rsidRPr="001363D6" w:rsidRDefault="001363D6" w:rsidP="001363D6">
            <w:pPr>
              <w:rPr>
                <w:sz w:val="20"/>
                <w:szCs w:val="20"/>
              </w:rPr>
            </w:pPr>
            <w:r w:rsidRPr="001363D6">
              <w:rPr>
                <w:sz w:val="20"/>
                <w:szCs w:val="20"/>
              </w:rPr>
              <w:t>Other:</w:t>
            </w:r>
            <w:r w:rsidRPr="001363D6">
              <w:rPr>
                <w:rFonts w:ascii="Lucida Sans" w:hAnsi="Lucida Sans"/>
                <w:sz w:val="18"/>
                <w:szCs w:val="18"/>
              </w:rPr>
              <w:t xml:space="preserve"> </w:t>
            </w: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1083"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c>
          <w:tcPr>
            <w:tcW w:w="2870" w:type="dxa"/>
          </w:tcPr>
          <w:p w:rsidR="001363D6" w:rsidRPr="001363D6" w:rsidRDefault="001363D6" w:rsidP="001363D6">
            <w:pPr>
              <w:rPr>
                <w:sz w:val="20"/>
                <w:szCs w:val="20"/>
              </w:rPr>
            </w:pPr>
            <w:r w:rsidRPr="001363D6">
              <w:rPr>
                <w:rFonts w:ascii="Lucida Sans" w:hAnsi="Lucida Sans"/>
                <w:sz w:val="18"/>
                <w:szCs w:val="18"/>
              </w:rPr>
              <w:fldChar w:fldCharType="begin">
                <w:ffData>
                  <w:name w:val="Text10"/>
                  <w:enabled/>
                  <w:calcOnExit w:val="0"/>
                  <w:textInput/>
                </w:ffData>
              </w:fldChar>
            </w:r>
            <w:r w:rsidRPr="001363D6">
              <w:rPr>
                <w:rFonts w:ascii="Lucida Sans" w:hAnsi="Lucida Sans"/>
                <w:sz w:val="18"/>
                <w:szCs w:val="18"/>
              </w:rPr>
              <w:instrText xml:space="preserve"> FORMTEXT </w:instrText>
            </w:r>
            <w:r w:rsidRPr="001363D6">
              <w:rPr>
                <w:rFonts w:ascii="Lucida Sans" w:hAnsi="Lucida Sans"/>
                <w:sz w:val="18"/>
                <w:szCs w:val="18"/>
              </w:rPr>
            </w:r>
            <w:r w:rsidRPr="001363D6">
              <w:rPr>
                <w:rFonts w:ascii="Lucida Sans" w:hAnsi="Lucida Sans"/>
                <w:sz w:val="18"/>
                <w:szCs w:val="18"/>
              </w:rPr>
              <w:fldChar w:fldCharType="separate"/>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noProof/>
                <w:sz w:val="18"/>
                <w:szCs w:val="18"/>
              </w:rPr>
              <w:t> </w:t>
            </w:r>
            <w:r w:rsidRPr="001363D6">
              <w:rPr>
                <w:rFonts w:ascii="Lucida Sans" w:hAnsi="Lucida Sans"/>
                <w:sz w:val="18"/>
                <w:szCs w:val="18"/>
              </w:rPr>
              <w:fldChar w:fldCharType="end"/>
            </w:r>
          </w:p>
        </w:tc>
      </w:tr>
    </w:tbl>
    <w:p w:rsidR="001363D6" w:rsidRPr="001363D6" w:rsidRDefault="001363D6" w:rsidP="001363D6"/>
    <w:p w:rsidR="001363D6" w:rsidRPr="001363D6" w:rsidRDefault="001363D6" w:rsidP="001363D6"/>
    <w:p w:rsidR="001363D6" w:rsidRPr="001363D6" w:rsidRDefault="001363D6" w:rsidP="001363D6"/>
    <w:p w:rsidR="001363D6" w:rsidRPr="001363D6" w:rsidRDefault="001363D6" w:rsidP="001363D6">
      <w:r w:rsidRPr="001363D6">
        <w:t>_________________________________________</w:t>
      </w:r>
    </w:p>
    <w:p w:rsidR="001363D6" w:rsidRPr="001363D6" w:rsidRDefault="001363D6" w:rsidP="001363D6">
      <w:r w:rsidRPr="001363D6">
        <w:t>Signature</w:t>
      </w:r>
    </w:p>
    <w:p w:rsidR="001363D6" w:rsidRPr="001363D6" w:rsidRDefault="001363D6" w:rsidP="001363D6"/>
    <w:p w:rsidR="001363D6" w:rsidRPr="001363D6" w:rsidRDefault="001363D6" w:rsidP="001363D6">
      <w:r w:rsidRPr="001363D6">
        <w:t>_________________________________________</w:t>
      </w:r>
    </w:p>
    <w:p w:rsidR="001363D6" w:rsidRPr="001363D6" w:rsidRDefault="001363D6" w:rsidP="001363D6">
      <w:r w:rsidRPr="001363D6">
        <w:t>Date</w:t>
      </w:r>
    </w:p>
    <w:p w:rsidR="001363D6" w:rsidRPr="001363D6" w:rsidRDefault="001363D6" w:rsidP="001363D6"/>
    <w:p w:rsidR="00B027D5" w:rsidRDefault="00B027D5"/>
    <w:p w:rsidR="001363D6" w:rsidRDefault="001363D6"/>
    <w:p w:rsidR="001363D6" w:rsidRDefault="001363D6"/>
    <w:sectPr w:rsidR="001363D6" w:rsidSect="001363D6">
      <w:footerReference w:type="default" r:id="rId6"/>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3D6" w:rsidRDefault="001363D6" w:rsidP="001363D6">
      <w:r>
        <w:separator/>
      </w:r>
    </w:p>
  </w:endnote>
  <w:endnote w:type="continuationSeparator" w:id="0">
    <w:p w:rsidR="001363D6" w:rsidRDefault="001363D6" w:rsidP="001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3D6" w:rsidRDefault="001363D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2</w:t>
    </w:r>
    <w:r>
      <w:rPr>
        <w:color w:val="5B9BD5" w:themeColor="accent1"/>
      </w:rPr>
      <w:fldChar w:fldCharType="end"/>
    </w:r>
  </w:p>
  <w:p w:rsidR="001363D6" w:rsidRDefault="001363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3D6" w:rsidRDefault="001363D6" w:rsidP="001363D6">
      <w:r>
        <w:separator/>
      </w:r>
    </w:p>
  </w:footnote>
  <w:footnote w:type="continuationSeparator" w:id="0">
    <w:p w:rsidR="001363D6" w:rsidRDefault="001363D6" w:rsidP="00136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visionView w:inkAnnotations="0"/>
  <w:documentProtection w:edit="forms" w:enforcement="1" w:cryptProviderType="rsaAES" w:cryptAlgorithmClass="hash" w:cryptAlgorithmType="typeAny" w:cryptAlgorithmSid="14" w:cryptSpinCount="100000" w:hash="SjjXFAmiCUyPAjFBxPxVlWOfGqk02LPcUwPyOfevPowz5TrU5WZPSydRaqu9RmnmkDtk1e0bs7GTv0KbKRHpnw==" w:salt="JwVPg/pSGjjAmkOZP0qh8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D6"/>
    <w:rsid w:val="001363D6"/>
    <w:rsid w:val="00B0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A43A"/>
  <w15:chartTrackingRefBased/>
  <w15:docId w15:val="{64417DD3-4360-4BE4-95B7-CBD0515F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D6"/>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3D6"/>
    <w:pPr>
      <w:tabs>
        <w:tab w:val="center" w:pos="4320"/>
        <w:tab w:val="right" w:pos="8640"/>
      </w:tabs>
    </w:pPr>
    <w:rPr>
      <w:rFonts w:eastAsia="Times New Roman"/>
      <w:szCs w:val="24"/>
    </w:rPr>
  </w:style>
  <w:style w:type="character" w:customStyle="1" w:styleId="HeaderChar">
    <w:name w:val="Header Char"/>
    <w:basedOn w:val="DefaultParagraphFont"/>
    <w:link w:val="Header"/>
    <w:uiPriority w:val="99"/>
    <w:rsid w:val="001363D6"/>
    <w:rPr>
      <w:rFonts w:ascii="Times New Roman" w:eastAsia="Times New Roman" w:hAnsi="Times New Roman" w:cs="Times New Roman"/>
      <w:sz w:val="24"/>
      <w:szCs w:val="24"/>
    </w:rPr>
  </w:style>
  <w:style w:type="character" w:styleId="CommentReference">
    <w:name w:val="annotation reference"/>
    <w:rsid w:val="001363D6"/>
    <w:rPr>
      <w:sz w:val="16"/>
      <w:szCs w:val="16"/>
    </w:rPr>
  </w:style>
  <w:style w:type="paragraph" w:styleId="CommentText">
    <w:name w:val="annotation text"/>
    <w:basedOn w:val="Normal"/>
    <w:link w:val="CommentTextChar"/>
    <w:rsid w:val="001363D6"/>
    <w:rPr>
      <w:rFonts w:eastAsia="Times New Roman"/>
      <w:sz w:val="20"/>
      <w:szCs w:val="20"/>
    </w:rPr>
  </w:style>
  <w:style w:type="character" w:customStyle="1" w:styleId="CommentTextChar">
    <w:name w:val="Comment Text Char"/>
    <w:basedOn w:val="DefaultParagraphFont"/>
    <w:link w:val="CommentText"/>
    <w:rsid w:val="001363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63D6"/>
    <w:rPr>
      <w:rFonts w:ascii="Tahoma" w:hAnsi="Tahoma" w:cs="Tahoma"/>
      <w:sz w:val="16"/>
      <w:szCs w:val="16"/>
    </w:rPr>
  </w:style>
  <w:style w:type="character" w:customStyle="1" w:styleId="BalloonTextChar">
    <w:name w:val="Balloon Text Char"/>
    <w:basedOn w:val="DefaultParagraphFont"/>
    <w:link w:val="BalloonText"/>
    <w:uiPriority w:val="99"/>
    <w:semiHidden/>
    <w:rsid w:val="001363D6"/>
    <w:rPr>
      <w:rFonts w:ascii="Tahoma" w:eastAsia="Calibri" w:hAnsi="Tahoma" w:cs="Tahoma"/>
      <w:sz w:val="16"/>
      <w:szCs w:val="16"/>
    </w:rPr>
  </w:style>
  <w:style w:type="paragraph" w:styleId="Footer">
    <w:name w:val="footer"/>
    <w:basedOn w:val="Normal"/>
    <w:link w:val="FooterChar"/>
    <w:uiPriority w:val="99"/>
    <w:unhideWhenUsed/>
    <w:rsid w:val="001363D6"/>
    <w:pPr>
      <w:tabs>
        <w:tab w:val="center" w:pos="4680"/>
        <w:tab w:val="right" w:pos="9360"/>
      </w:tabs>
    </w:pPr>
  </w:style>
  <w:style w:type="character" w:customStyle="1" w:styleId="FooterChar">
    <w:name w:val="Footer Char"/>
    <w:basedOn w:val="DefaultParagraphFont"/>
    <w:link w:val="Footer"/>
    <w:uiPriority w:val="99"/>
    <w:rsid w:val="001363D6"/>
    <w:rPr>
      <w:rFonts w:ascii="Times New Roman" w:eastAsia="Calibri" w:hAnsi="Times New Roman" w:cs="Times New Roman"/>
      <w:sz w:val="24"/>
    </w:rPr>
  </w:style>
  <w:style w:type="paragraph" w:customStyle="1" w:styleId="DocID">
    <w:name w:val="DocID"/>
    <w:basedOn w:val="Footer"/>
    <w:next w:val="Footer"/>
    <w:link w:val="DocIDChar"/>
    <w:rsid w:val="001363D6"/>
    <w:pPr>
      <w:tabs>
        <w:tab w:val="clear" w:pos="4680"/>
        <w:tab w:val="clear" w:pos="9360"/>
      </w:tabs>
      <w:outlineLvl w:val="0"/>
    </w:pPr>
    <w:rPr>
      <w:smallCaps/>
      <w:sz w:val="16"/>
      <w:szCs w:val="28"/>
    </w:rPr>
  </w:style>
  <w:style w:type="character" w:customStyle="1" w:styleId="DocIDChar">
    <w:name w:val="DocID Char"/>
    <w:link w:val="DocID"/>
    <w:rsid w:val="001363D6"/>
    <w:rPr>
      <w:rFonts w:ascii="Times New Roman" w:eastAsia="Calibri" w:hAnsi="Times New Roman" w:cs="Times New Roman"/>
      <w:smallCaps/>
      <w:sz w:val="16"/>
      <w:szCs w:val="28"/>
    </w:rPr>
  </w:style>
  <w:style w:type="paragraph" w:styleId="CommentSubject">
    <w:name w:val="annotation subject"/>
    <w:basedOn w:val="CommentText"/>
    <w:next w:val="CommentText"/>
    <w:link w:val="CommentSubjectChar"/>
    <w:uiPriority w:val="99"/>
    <w:semiHidden/>
    <w:unhideWhenUsed/>
    <w:rsid w:val="001363D6"/>
    <w:rPr>
      <w:rFonts w:eastAsia="Calibri"/>
      <w:b/>
      <w:bCs/>
    </w:rPr>
  </w:style>
  <w:style w:type="character" w:customStyle="1" w:styleId="CommentSubjectChar">
    <w:name w:val="Comment Subject Char"/>
    <w:basedOn w:val="CommentTextChar"/>
    <w:link w:val="CommentSubject"/>
    <w:uiPriority w:val="99"/>
    <w:semiHidden/>
    <w:rsid w:val="001363D6"/>
    <w:rPr>
      <w:rFonts w:ascii="Times New Roman" w:eastAsia="Calibri" w:hAnsi="Times New Roman" w:cs="Times New Roman"/>
      <w:b/>
      <w:bCs/>
      <w:sz w:val="20"/>
      <w:szCs w:val="20"/>
    </w:rPr>
  </w:style>
  <w:style w:type="paragraph" w:styleId="Revision">
    <w:name w:val="Revision"/>
    <w:hidden/>
    <w:uiPriority w:val="99"/>
    <w:semiHidden/>
    <w:rsid w:val="001363D6"/>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Lutheran Social Service of MN</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Watson</dc:creator>
  <cp:keywords/>
  <dc:description/>
  <cp:lastModifiedBy>Kim Watson</cp:lastModifiedBy>
  <cp:revision>1</cp:revision>
  <dcterms:created xsi:type="dcterms:W3CDTF">2019-04-22T20:46:00Z</dcterms:created>
  <dcterms:modified xsi:type="dcterms:W3CDTF">2019-04-22T20:52:00Z</dcterms:modified>
</cp:coreProperties>
</file>